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Calibri" w:cs="Calibri" w:eastAsia="Calibri" w:hAnsi="Calibri"/>
          <w:b/>
          <w:bCs/>
          <w:color w:val="1B3A5C"/>
          <w:sz w:val="40"/>
          <w:szCs w:val="40"/>
        </w:rPr>
        <w:t xml:space="preserve">Patient Session Report</w:t>
      </w:r>
    </w:p>
    <w:p>
      <w:pPr>
        <w:spacing w:after="240"/>
      </w:pPr>
      <w:r>
        <w:rPr>
          <w:rFonts w:ascii="Calibri" w:cs="Calibri" w:eastAsia="Calibri" w:hAnsi="Calibri"/>
          <w:color w:val="5B6670"/>
          <w:sz w:val="21"/>
          <w:szCs w:val="21"/>
        </w:rPr>
        <w:t xml:space="preserve">Patient WIN002  ·  September 21, 2026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0E7C86"/>
          <w:sz w:val="16"/>
          <w:szCs w:val="16"/>
        </w:rPr>
        <w:t xml:space="preserve">PROTOCOL</w:t>
      </w:r>
    </w:p>
    <w:p>
      <w:pPr>
        <w:spacing w:after="12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ReadyOS™ autonomic scan  →  Kinvent K-Pull strength testing  →  Winback TECAR treatment  →  Kinvent K-Pull re-test  →  ReadyOS™ re-scan</w:t>
      </w:r>
    </w:p>
    <w:p>
      <w:pPr>
        <w:pBdr>
          <w:bottom w:val="single" w:color="C9D4D8" w:sz="6"/>
        </w:pBdr>
        <w:spacing w:after="200" w:before="60"/>
      </w:pPr>
    </w:p>
    <w:p>
      <w:pPr>
        <w:pBdr>
          <w:bottom w:val="single" w:color="0E7C86" w:sz="4"/>
        </w:pBdr>
        <w:spacing w:after="120" w:before="320"/>
      </w:pPr>
      <w:r>
        <w:rPr>
          <w:rFonts w:ascii="Calibri" w:cs="Calibri" w:eastAsia="Calibri" w:hAnsi="Calibri"/>
          <w:b/>
          <w:bCs/>
          <w:color w:val="1B3A5C"/>
          <w:sz w:val="26"/>
          <w:szCs w:val="26"/>
        </w:rPr>
        <w:t xml:space="preserve">1. Pre-Treatment ReadyOS™ Scan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EAF2F3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B3A5C"/>
                <w:sz w:val="30"/>
                <w:szCs w:val="30"/>
              </w:rPr>
              <w:t xml:space="preserve">58 / 100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5B6670"/>
                <w:sz w:val="15"/>
                <w:szCs w:val="15"/>
              </w:rPr>
              <w:t xml:space="preserve">ReadyOS Score</w:t>
            </w:r>
          </w:p>
        </w:tc>
        <w:tc>
          <w:tcPr>
            <w:tcW w:type="dxa" w:w="2520"/>
            <w:shd w:fill="EAF2F3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B3A5C"/>
                <w:sz w:val="30"/>
                <w:szCs w:val="30"/>
              </w:rPr>
              <w:t xml:space="preserve">Controlled Strain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5B6670"/>
                <w:sz w:val="15"/>
                <w:szCs w:val="15"/>
              </w:rPr>
              <w:t xml:space="preserve">State</w:t>
            </w:r>
          </w:p>
        </w:tc>
        <w:tc>
          <w:tcPr>
            <w:tcW w:type="dxa" w:w="2520"/>
            <w:shd w:fill="EAF2F3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B3A5C"/>
                <w:sz w:val="30"/>
                <w:szCs w:val="30"/>
              </w:rPr>
              <w:t xml:space="preserve">89.5% / 6.2%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5B6670"/>
                <w:sz w:val="15"/>
                <w:szCs w:val="15"/>
              </w:rPr>
              <w:t xml:space="preserve">LF / HF Balance</w:t>
            </w:r>
          </w:p>
        </w:tc>
        <w:tc>
          <w:tcPr>
            <w:tcW w:type="dxa" w:w="2520"/>
            <w:shd w:fill="EAF2F3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B3A5C"/>
                <w:sz w:val="30"/>
                <w:szCs w:val="30"/>
              </w:rPr>
              <w:t xml:space="preserve">67 bpm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5B6670"/>
                <w:sz w:val="15"/>
                <w:szCs w:val="15"/>
              </w:rPr>
              <w:t xml:space="preserve">Avg Heart Rate</w:t>
            </w:r>
          </w:p>
        </w:tc>
      </w:tr>
    </w:tbl>
    <w:p>
      <w:pPr>
        <w:spacing w:after="80" w:before="160"/>
      </w:pP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SDNN 38.57 ms  ·  RMSSD 26.82 ms  ·  pNN50 6.12%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Strongly sympathetic-dominant autonomic balance (LF 89.48% / HF 6.17%)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Estimated biological age: ~51–55 yrs (+1–5 yrs vs. chronological, state-dependent)</w:t>
      </w:r>
    </w:p>
    <w:p>
      <w:pPr>
        <w:spacing w:after="12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System was carrying meaningful load with usable but constrained capacity — close to the edge of Protection Mode.</w:t>
      </w:r>
    </w:p>
    <w:p>
      <w:pPr>
        <w:pBdr>
          <w:bottom w:val="single" w:color="0E7C86" w:sz="4"/>
        </w:pBdr>
        <w:spacing w:after="120" w:before="320"/>
      </w:pPr>
      <w:r>
        <w:rPr>
          <w:rFonts w:ascii="Calibri" w:cs="Calibri" w:eastAsia="Calibri" w:hAnsi="Calibri"/>
          <w:b/>
          <w:bCs/>
          <w:color w:val="1B3A5C"/>
          <w:sz w:val="26"/>
          <w:szCs w:val="26"/>
        </w:rPr>
        <w:t xml:space="preserve">2. Pre-Treatment Kinvent K-Pull Testing</w:t>
      </w:r>
    </w:p>
    <w:p>
      <w:pPr>
        <w:spacing w:after="100" w:before="200"/>
      </w:pPr>
      <w:r>
        <w:rPr>
          <w:rFonts w:ascii="Calibri" w:cs="Calibri" w:eastAsia="Calibri" w:hAnsi="Calibri"/>
          <w:b/>
          <w:bCs/>
          <w:i/>
          <w:iCs/>
          <w:color w:val="1B3A5C"/>
          <w:sz w:val="20"/>
          <w:szCs w:val="20"/>
        </w:rPr>
        <w:t xml:space="preserve">External Rotators (isometric pull, 3 reps)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500"/>
        <w:gridCol w:w="2500"/>
        <w:gridCol w:w="3000"/>
      </w:tblGrid>
      <w:tr>
        <w:trPr>
          <w:tblHeader/>
        </w:trPr>
        <w:tc>
          <w:tcPr>
            <w:tcW w:type="dxa" w:w="18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Rep</w:t>
            </w:r>
          </w:p>
        </w:tc>
        <w:tc>
          <w:tcPr>
            <w:tcW w:type="dxa" w:w="25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Left (kg)</w:t>
            </w:r>
          </w:p>
        </w:tc>
        <w:tc>
          <w:tcPr>
            <w:tcW w:type="dxa" w:w="25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Right (kg)</w:t>
            </w:r>
          </w:p>
        </w:tc>
        <w:tc>
          <w:tcPr>
            <w:tcW w:type="dxa" w:w="30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Asymmetry</w:t>
            </w:r>
          </w:p>
        </w:tc>
      </w:tr>
      <w:tr>
        <w:tc>
          <w:tcPr>
            <w:tcW w:type="dxa" w:w="18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11.04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7.71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30.1% (L)</w:t>
            </w:r>
          </w:p>
        </w:tc>
      </w:tr>
      <w:tr>
        <w:tc>
          <w:tcPr>
            <w:tcW w:type="dxa" w:w="18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10.65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9.35</w:t>
            </w:r>
          </w:p>
        </w:tc>
        <w:tc>
          <w:tcPr>
            <w:tcW w:type="dxa" w:w="30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12.2% (L)</w:t>
            </w:r>
          </w:p>
        </w:tc>
      </w:tr>
      <w:tr>
        <w:tc>
          <w:tcPr>
            <w:tcW w:type="dxa" w:w="18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9.70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10.04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3.4% (R)</w:t>
            </w:r>
          </w:p>
        </w:tc>
      </w:tr>
      <w:tr>
        <w:tc>
          <w:tcPr>
            <w:tcW w:type="dxa" w:w="18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Average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10.46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9.03</w:t>
            </w:r>
          </w:p>
        </w:tc>
        <w:tc>
          <w:tcPr>
            <w:tcW w:type="dxa" w:w="30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2F33"/>
                <w:sz w:val="19"/>
                <w:szCs w:val="19"/>
              </w:rPr>
              <w:t xml:space="preserve">~15.2% (L)</w:t>
            </w:r>
          </w:p>
        </w:tc>
      </w:tr>
    </w:tbl>
    <w:p>
      <w:pPr>
        <w:spacing w:after="200"/>
      </w:pPr>
    </w:p>
    <w:p>
      <w:pPr>
        <w:spacing w:after="100" w:before="200"/>
      </w:pPr>
      <w:r>
        <w:rPr>
          <w:rFonts w:ascii="Calibri" w:cs="Calibri" w:eastAsia="Calibri" w:hAnsi="Calibri"/>
          <w:b/>
          <w:bCs/>
          <w:i/>
          <w:iCs/>
          <w:color w:val="1B3A5C"/>
          <w:sz w:val="20"/>
          <w:szCs w:val="20"/>
        </w:rPr>
        <w:t xml:space="preserve">Sitting Shoulder External Rotation, 90° Abduction (3 reps)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500"/>
        <w:gridCol w:w="2500"/>
        <w:gridCol w:w="3000"/>
      </w:tblGrid>
      <w:tr>
        <w:trPr>
          <w:tblHeader/>
        </w:trPr>
        <w:tc>
          <w:tcPr>
            <w:tcW w:type="dxa" w:w="18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Rep</w:t>
            </w:r>
          </w:p>
        </w:tc>
        <w:tc>
          <w:tcPr>
            <w:tcW w:type="dxa" w:w="25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Left (kg)</w:t>
            </w:r>
          </w:p>
        </w:tc>
        <w:tc>
          <w:tcPr>
            <w:tcW w:type="dxa" w:w="25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Right (kg)</w:t>
            </w:r>
          </w:p>
        </w:tc>
        <w:tc>
          <w:tcPr>
            <w:tcW w:type="dxa" w:w="30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Asymmetry</w:t>
            </w:r>
          </w:p>
        </w:tc>
      </w:tr>
      <w:tr>
        <w:tc>
          <w:tcPr>
            <w:tcW w:type="dxa" w:w="18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9.61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3.98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58.6% (L)</w:t>
            </w:r>
          </w:p>
        </w:tc>
      </w:tr>
      <w:tr>
        <w:tc>
          <w:tcPr>
            <w:tcW w:type="dxa" w:w="18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10.42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2.62</w:t>
            </w:r>
          </w:p>
        </w:tc>
        <w:tc>
          <w:tcPr>
            <w:tcW w:type="dxa" w:w="30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74.9% (L)</w:t>
            </w:r>
          </w:p>
        </w:tc>
      </w:tr>
      <w:tr>
        <w:tc>
          <w:tcPr>
            <w:tcW w:type="dxa" w:w="18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8.48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2.47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70.9% (L)</w:t>
            </w:r>
          </w:p>
        </w:tc>
      </w:tr>
      <w:tr>
        <w:tc>
          <w:tcPr>
            <w:tcW w:type="dxa" w:w="18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Average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9.50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3.02</w:t>
            </w:r>
          </w:p>
        </w:tc>
        <w:tc>
          <w:tcPr>
            <w:tcW w:type="dxa" w:w="30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3432B"/>
                <w:sz w:val="19"/>
                <w:szCs w:val="19"/>
              </w:rPr>
              <w:t xml:space="preserve">~68.1% (L)</w:t>
            </w:r>
          </w:p>
        </w:tc>
      </w:tr>
    </w:tbl>
    <w:p>
      <w:pPr>
        <w:spacing w:after="120" w:before="160"/>
      </w:pPr>
    </w:p>
    <w:p>
      <w:pPr>
        <w:spacing w:after="120"/>
      </w:pPr>
      <w:r>
        <w:rPr>
          <w:rFonts w:ascii="Calibri" w:cs="Calibri" w:eastAsia="Calibri" w:hAnsi="Calibri"/>
          <w:i/>
          <w:iCs/>
          <w:color w:val="B3432B"/>
          <w:sz w:val="21"/>
          <w:szCs w:val="21"/>
        </w:rPr>
        <w:t xml:space="preserve">The 90°-abduction position exposed a large right-side deficit — right external rotator force was roughly a third of the left, well beyond the ~10–15% asymmetry typically considered clinically acceptable.</w:t>
      </w:r>
    </w:p>
    <w:p>
      <w:pPr>
        <w:pBdr>
          <w:bottom w:val="single" w:color="0E7C86" w:sz="4"/>
        </w:pBdr>
        <w:spacing w:after="120" w:before="320"/>
      </w:pPr>
      <w:r>
        <w:rPr>
          <w:rFonts w:ascii="Calibri" w:cs="Calibri" w:eastAsia="Calibri" w:hAnsi="Calibri"/>
          <w:b/>
          <w:bCs/>
          <w:color w:val="1B3A5C"/>
          <w:sz w:val="26"/>
          <w:szCs w:val="26"/>
        </w:rPr>
        <w:t xml:space="preserve">3. Winback TECAR Treatment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670"/>
          <w:sz w:val="21"/>
          <w:szCs w:val="21"/>
        </w:rPr>
        <w:t xml:space="preserve">Administered between the two testing blocks. (Insert treatment parameters, region, mode, and duration here.)</w:t>
      </w:r>
    </w:p>
    <w:p>
      <w:pPr>
        <w:spacing w:after="100" w:before="200"/>
      </w:pPr>
      <w:r>
        <w:rPr>
          <w:rFonts w:ascii="Calibri" w:cs="Calibri" w:eastAsia="Calibri" w:hAnsi="Calibri"/>
          <w:b/>
          <w:bCs/>
          <w:i/>
          <w:iCs/>
          <w:color w:val="1B3A5C"/>
          <w:sz w:val="20"/>
          <w:szCs w:val="20"/>
        </w:rPr>
        <w:t xml:space="preserve">Concurrent Active Exercise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Lateral raises with resistance band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External rotation with elbow held at 90°, positioned at the side of the body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670"/>
          <w:sz w:val="21"/>
          <w:szCs w:val="21"/>
        </w:rPr>
        <w:t xml:space="preserve">Active loading was performed concurrently with TECAR application, targeting the shoulder external rotators / posterior cuff — the same muscle group assessed pre- and post-treatment on Kinvent testing.</w:t>
      </w:r>
    </w:p>
    <w:p>
      <w:pPr>
        <w:pBdr>
          <w:bottom w:val="single" w:color="0E7C86" w:sz="4"/>
        </w:pBdr>
        <w:spacing w:after="120" w:before="320"/>
      </w:pPr>
      <w:r>
        <w:rPr>
          <w:rFonts w:ascii="Calibri" w:cs="Calibri" w:eastAsia="Calibri" w:hAnsi="Calibri"/>
          <w:b/>
          <w:bCs/>
          <w:color w:val="1B3A5C"/>
          <w:sz w:val="26"/>
          <w:szCs w:val="26"/>
        </w:rPr>
        <w:t xml:space="preserve">4. Post-Treatment Kinvent K-Pull Testing</w:t>
      </w:r>
    </w:p>
    <w:p>
      <w:pPr>
        <w:spacing w:after="100" w:before="200"/>
      </w:pPr>
      <w:r>
        <w:rPr>
          <w:rFonts w:ascii="Calibri" w:cs="Calibri" w:eastAsia="Calibri" w:hAnsi="Calibri"/>
          <w:b/>
          <w:bCs/>
          <w:i/>
          <w:iCs/>
          <w:color w:val="1B3A5C"/>
          <w:sz w:val="20"/>
          <w:szCs w:val="20"/>
        </w:rPr>
        <w:t xml:space="preserve">External Rotators (isometric pull, 3 reps)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500"/>
        <w:gridCol w:w="2500"/>
        <w:gridCol w:w="3000"/>
      </w:tblGrid>
      <w:tr>
        <w:trPr>
          <w:tblHeader/>
        </w:trPr>
        <w:tc>
          <w:tcPr>
            <w:tcW w:type="dxa" w:w="18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Rep</w:t>
            </w:r>
          </w:p>
        </w:tc>
        <w:tc>
          <w:tcPr>
            <w:tcW w:type="dxa" w:w="25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Left (kg)</w:t>
            </w:r>
          </w:p>
        </w:tc>
        <w:tc>
          <w:tcPr>
            <w:tcW w:type="dxa" w:w="25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Right (kg)</w:t>
            </w:r>
          </w:p>
        </w:tc>
        <w:tc>
          <w:tcPr>
            <w:tcW w:type="dxa" w:w="30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Asymmetry</w:t>
            </w:r>
          </w:p>
        </w:tc>
      </w:tr>
      <w:tr>
        <w:tc>
          <w:tcPr>
            <w:tcW w:type="dxa" w:w="18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10.19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8.79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13.7% (L)</w:t>
            </w:r>
          </w:p>
        </w:tc>
      </w:tr>
      <w:tr>
        <w:tc>
          <w:tcPr>
            <w:tcW w:type="dxa" w:w="18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9.76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9.15</w:t>
            </w:r>
          </w:p>
        </w:tc>
        <w:tc>
          <w:tcPr>
            <w:tcW w:type="dxa" w:w="30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6.3% (L)</w:t>
            </w:r>
          </w:p>
        </w:tc>
      </w:tr>
      <w:tr>
        <w:tc>
          <w:tcPr>
            <w:tcW w:type="dxa" w:w="18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8.74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8.44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3.4% (L)</w:t>
            </w:r>
          </w:p>
        </w:tc>
      </w:tr>
      <w:tr>
        <w:tc>
          <w:tcPr>
            <w:tcW w:type="dxa" w:w="18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Average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9.57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8.79</w:t>
            </w:r>
          </w:p>
        </w:tc>
        <w:tc>
          <w:tcPr>
            <w:tcW w:type="dxa" w:w="30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2F33"/>
                <w:sz w:val="19"/>
                <w:szCs w:val="19"/>
              </w:rPr>
              <w:t xml:space="preserve">~7.8% (L)</w:t>
            </w:r>
          </w:p>
        </w:tc>
      </w:tr>
    </w:tbl>
    <w:p>
      <w:pPr>
        <w:spacing w:after="200"/>
      </w:pPr>
    </w:p>
    <w:p>
      <w:pPr>
        <w:spacing w:after="100" w:before="200"/>
      </w:pPr>
      <w:r>
        <w:rPr>
          <w:rFonts w:ascii="Calibri" w:cs="Calibri" w:eastAsia="Calibri" w:hAnsi="Calibri"/>
          <w:b/>
          <w:bCs/>
          <w:i/>
          <w:iCs/>
          <w:color w:val="1B3A5C"/>
          <w:sz w:val="20"/>
          <w:szCs w:val="20"/>
        </w:rPr>
        <w:t xml:space="preserve">Sitting Shoulder External Rotation, 90° Abduction (3 reps)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500"/>
        <w:gridCol w:w="2500"/>
        <w:gridCol w:w="3000"/>
      </w:tblGrid>
      <w:tr>
        <w:trPr>
          <w:tblHeader/>
        </w:trPr>
        <w:tc>
          <w:tcPr>
            <w:tcW w:type="dxa" w:w="18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Rep</w:t>
            </w:r>
          </w:p>
        </w:tc>
        <w:tc>
          <w:tcPr>
            <w:tcW w:type="dxa" w:w="25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Left (kg)</w:t>
            </w:r>
          </w:p>
        </w:tc>
        <w:tc>
          <w:tcPr>
            <w:tcW w:type="dxa" w:w="25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Right (kg)</w:t>
            </w:r>
          </w:p>
        </w:tc>
        <w:tc>
          <w:tcPr>
            <w:tcW w:type="dxa" w:w="3000"/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Asymmetry</w:t>
            </w:r>
          </w:p>
        </w:tc>
      </w:tr>
      <w:tr>
        <w:tc>
          <w:tcPr>
            <w:tcW w:type="dxa" w:w="18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6.94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4.64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33.1% (L)</w:t>
            </w:r>
          </w:p>
        </w:tc>
      </w:tr>
      <w:tr>
        <w:tc>
          <w:tcPr>
            <w:tcW w:type="dxa" w:w="18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6.11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4.69</w:t>
            </w:r>
          </w:p>
        </w:tc>
        <w:tc>
          <w:tcPr>
            <w:tcW w:type="dxa" w:w="30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23.2% (L)</w:t>
            </w:r>
          </w:p>
        </w:tc>
      </w:tr>
      <w:tr>
        <w:tc>
          <w:tcPr>
            <w:tcW w:type="dxa" w:w="18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8.16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3.92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F33"/>
                <w:sz w:val="19"/>
                <w:szCs w:val="19"/>
              </w:rPr>
              <w:t xml:space="preserve">51.9% (L)</w:t>
            </w:r>
          </w:p>
        </w:tc>
      </w:tr>
      <w:tr>
        <w:tc>
          <w:tcPr>
            <w:tcW w:type="dxa" w:w="18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Average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7.07</w:t>
            </w:r>
          </w:p>
        </w:tc>
        <w:tc>
          <w:tcPr>
            <w:tcW w:type="dxa" w:w="25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4.42</w:t>
            </w:r>
          </w:p>
        </w:tc>
        <w:tc>
          <w:tcPr>
            <w:tcW w:type="dxa" w:w="3000"/>
            <w:shd w:fill="F5F7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2F33"/>
                <w:sz w:val="19"/>
                <w:szCs w:val="19"/>
              </w:rPr>
              <w:t xml:space="preserve">~36.1% (L)</w:t>
            </w:r>
          </w:p>
        </w:tc>
      </w:tr>
    </w:tbl>
    <w:p>
      <w:pPr>
        <w:spacing w:after="120" w:before="160"/>
      </w:pPr>
    </w:p>
    <w:p>
      <w:pPr>
        <w:spacing w:after="12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Asymmetry dropped from ~15.2% → 7.8% (external rotators) and ~68.1% → 36.1% (90° abduction). The right side gained measurable force output in the abduction position, while left-side max values eased slightly on both tests — consistent with post-treatment normalization rather than fatigue-driven decline, though the left-side dip is worth continued monitoring.</w:t>
      </w:r>
    </w:p>
    <w:p>
      <w:pPr>
        <w:pBdr>
          <w:bottom w:val="single" w:color="0E7C86" w:sz="4"/>
        </w:pBdr>
        <w:spacing w:after="120" w:before="320"/>
      </w:pPr>
      <w:r>
        <w:rPr>
          <w:rFonts w:ascii="Calibri" w:cs="Calibri" w:eastAsia="Calibri" w:hAnsi="Calibri"/>
          <w:b/>
          <w:bCs/>
          <w:color w:val="1B3A5C"/>
          <w:sz w:val="26"/>
          <w:szCs w:val="26"/>
        </w:rPr>
        <w:t xml:space="preserve">5. Post-Treatment ReadyOS™ Scan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EAF2F3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B3A5C"/>
                <w:sz w:val="30"/>
                <w:szCs w:val="30"/>
              </w:rPr>
              <w:t xml:space="preserve">61 / 100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5B6670"/>
                <w:sz w:val="15"/>
                <w:szCs w:val="15"/>
              </w:rPr>
              <w:t xml:space="preserve">ReadyOS Score</w:t>
            </w:r>
          </w:p>
        </w:tc>
        <w:tc>
          <w:tcPr>
            <w:tcW w:type="dxa" w:w="2520"/>
            <w:shd w:fill="EAF2F3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B3A5C"/>
                <w:sz w:val="30"/>
                <w:szCs w:val="30"/>
              </w:rPr>
              <w:t xml:space="preserve">Controlled Strain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5B6670"/>
                <w:sz w:val="15"/>
                <w:szCs w:val="15"/>
              </w:rPr>
              <w:t xml:space="preserve">State</w:t>
            </w:r>
          </w:p>
        </w:tc>
        <w:tc>
          <w:tcPr>
            <w:tcW w:type="dxa" w:w="2520"/>
            <w:shd w:fill="EAF2F3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B3A5C"/>
                <w:sz w:val="30"/>
                <w:szCs w:val="30"/>
              </w:rPr>
              <w:t xml:space="preserve">51.2% / 42.4%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5B6670"/>
                <w:sz w:val="15"/>
                <w:szCs w:val="15"/>
              </w:rPr>
              <w:t xml:space="preserve">LF / HF Balance</w:t>
            </w:r>
          </w:p>
        </w:tc>
        <w:tc>
          <w:tcPr>
            <w:tcW w:type="dxa" w:w="2520"/>
            <w:shd w:fill="EAF2F3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B3A5C"/>
                <w:sz w:val="30"/>
                <w:szCs w:val="30"/>
              </w:rPr>
              <w:t xml:space="preserve">67 bpm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5B6670"/>
                <w:sz w:val="15"/>
                <w:szCs w:val="15"/>
              </w:rPr>
              <w:t xml:space="preserve">Avg Heart Rate</w:t>
            </w:r>
          </w:p>
        </w:tc>
      </w:tr>
    </w:tbl>
    <w:p>
      <w:pPr>
        <w:spacing w:after="80" w:before="160"/>
      </w:pP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SDNN 26.58 ms  ·  RMSSD 22.98 ms  ·  pNN50 2.08%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Markedly more balanced autonomic profile (LF 51.16% / HF 42.36%) — HF share increased more than sevenfold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Estimated biological age: ~55–59 yrs (+5–9 yrs vs. chronological, state-dependent)</w:t>
      </w:r>
    </w:p>
    <w:p>
      <w:pPr>
        <w:pBdr>
          <w:bottom w:val="single" w:color="0E7C86" w:sz="4"/>
        </w:pBdr>
        <w:spacing w:after="120" w:before="320"/>
      </w:pPr>
      <w:r>
        <w:rPr>
          <w:rFonts w:ascii="Calibri" w:cs="Calibri" w:eastAsia="Calibri" w:hAnsi="Calibri"/>
          <w:b/>
          <w:bCs/>
          <w:color w:val="1B3A5C"/>
          <w:sz w:val="26"/>
          <w:szCs w:val="26"/>
        </w:rPr>
        <w:t xml:space="preserve">6. Summary &amp; Clinical Interpretation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ReadyOS score and autonomic balance both moved favorably post-treatment, with HF share increasing more than sevenfold — suggestive of a shift toward parasympathetic re-regulation.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Right-shoulder external rotator strength asymmetry, most pronounced at 90° abduction, improved substantially within the single session but remains outside normal limits (~36% vs. a &lt;10–15% target) — a focus area to track across follow-up sessions.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B2F33"/>
          <w:sz w:val="21"/>
          <w:szCs w:val="21"/>
        </w:rPr>
        <w:t xml:space="preserve">Left-side force output trended down slightly on both re-tests; monitor whether this reflects test-order fatigue or a genuine shift.</w:t>
      </w:r>
    </w:p>
    <w:p>
      <w:pPr>
        <w:spacing w:before="160"/>
      </w:pPr>
    </w:p>
    <w:p>
      <w:pPr>
        <w:spacing w:after="120"/>
      </w:pPr>
      <w:r>
        <w:rPr>
          <w:rFonts w:ascii="Calibri" w:cs="Calibri" w:eastAsia="Calibri" w:hAnsi="Calibri"/>
          <w:i/>
          <w:iCs/>
          <w:color w:val="5B6670"/>
          <w:sz w:val="18"/>
          <w:szCs w:val="18"/>
        </w:rPr>
        <w:t xml:space="preserve">ReadyOS™ scans are AI-generated and intended for review by a qualified healthcare professional — not as a standalone diagnosis.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4D8" w:sz="4"/>
      </w:pBdr>
      <w:tabs>
        <w:tab w:val="right" w:pos="10080"/>
      </w:tabs>
      <w:spacing w:before="120"/>
    </w:pPr>
    <w:r>
      <w:rPr>
        <w:rFonts w:ascii="Calibri" w:cs="Calibri" w:eastAsia="Calibri" w:hAnsi="Calibri"/>
        <w:color w:val="5B6670"/>
        <w:sz w:val="15"/>
        <w:szCs w:val="15"/>
      </w:rPr>
      <w:t xml:space="preserve">Hector L. Torres, MS, MHS — Winback USA</w:t>
    </w:r>
    <w:r>
      <w:rPr>
        <w:rFonts w:ascii="Calibri" w:cs="Calibri" w:eastAsia="Calibri" w:hAnsi="Calibri"/>
        <w:color w:val="5B6670"/>
        <w:sz w:val="15"/>
        <w:szCs w:val="15"/>
      </w:rPr>
      <w:t xml:space="preserve">	Page </w:t>
    </w:r>
    <w:r>
      <w:rPr>
        <w:rFonts w:ascii="Calibri" w:cs="Calibri" w:eastAsia="Calibri" w:hAnsi="Calibri"/>
        <w:color w:val="5B66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3A5C" w:sz="8"/>
      </w:pBdr>
      <w:tabs>
        <w:tab w:val="right" w:pos="10080"/>
      </w:tabs>
      <w:spacing w:after="120"/>
    </w:pPr>
    <w:r>
      <w:rPr>
        <w:rFonts w:ascii="Calibri" w:cs="Calibri" w:eastAsia="Calibri" w:hAnsi="Calibri"/>
        <w:b/>
        <w:bCs/>
        <w:color w:val="1B3A5C"/>
        <w:sz w:val="22"/>
        <w:szCs w:val="22"/>
      </w:rPr>
      <w:t xml:space="preserve">WINBACK  </w:t>
    </w:r>
    <w:r>
      <w:rPr>
        <w:rFonts w:ascii="Calibri" w:cs="Calibri" w:eastAsia="Calibri" w:hAnsi="Calibri"/>
        <w:b/>
        <w:bCs/>
        <w:color w:val="0E7C86"/>
        <w:sz w:val="22"/>
        <w:szCs w:val="22"/>
      </w:rPr>
      <w:t xml:space="preserve">TECAR THERAPY</w:t>
    </w:r>
    <w:r>
      <w:rPr>
        <w:rFonts w:ascii="Calibri" w:cs="Calibri" w:eastAsia="Calibri" w:hAnsi="Calibri"/>
        <w:color w:val="5B6670"/>
        <w:sz w:val="18"/>
        <w:szCs w:val="18"/>
      </w:rPr>
      <w:t xml:space="preserve">	Clinical Session Report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2026-09-22T23:31:11.727Z</dcterms:created>
  <dcterms:modified xsi:type="dcterms:W3CDTF">2026-09-22T23:31:11.735Z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