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0E7C7B"/>
          <w:sz w:val="22"/>
          <w:szCs w:val="22"/>
        </w:rPr>
        <w:t xml:space="preserve">WINBACK</w:t>
      </w:r>
      <w:r>
        <w:rPr>
          <w:color w:val="666666"/>
          <w:sz w:val="22"/>
          <w:szCs w:val="22"/>
        </w:rPr>
        <w:t xml:space="preserve">  ×  </w:t>
      </w:r>
      <w:r>
        <w:rPr>
          <w:b/>
          <w:bCs/>
          <w:color w:val="1B2A4A"/>
          <w:sz w:val="22"/>
          <w:szCs w:val="22"/>
        </w:rPr>
        <w:t xml:space="preserve">KINVENT</w:t>
      </w:r>
      <w:r>
        <w:rPr>
          <w:color w:val="666666"/>
          <w:sz w:val="20"/>
          <w:szCs w:val="20"/>
        </w:rPr>
        <w:t xml:space="preserve">   |   Clinical Case Snapshot</w:t>
      </w:r>
    </w:p>
    <w:p>
      <w:pPr>
        <w:pBdr>
          <w:bottom w:val="single" w:color="1B2A4A" w:sz="12" w:space="4"/>
        </w:pBdr>
        <w:spacing w:after="160"/>
      </w:pPr>
      <w:r>
        <w:t xml:space="preserve"/>
      </w:r>
    </w:p>
    <w:p>
      <w:pPr>
        <w:spacing w:after="40"/>
      </w:pPr>
      <w:r>
        <w:rPr>
          <w:b/>
          <w:bCs/>
          <w:color w:val="1B2A4A"/>
          <w:sz w:val="28"/>
          <w:szCs w:val="28"/>
        </w:rPr>
        <w:t xml:space="preserve">TECAR + Active Loading for a Runner/Lifter with Hip Extension Deficit and Low Back Pain</w:t>
      </w:r>
    </w:p>
    <w:p>
      <w:pPr>
        <w:spacing w:after="80"/>
      </w:pPr>
      <w:r>
        <w:rPr>
          <w:i/>
          <w:iCs/>
          <w:color w:val="666666"/>
          <w:sz w:val="18"/>
          <w:szCs w:val="18"/>
        </w:rPr>
        <w:t xml:space="preserve">Patient: Laura A.  |  Runner (marathon training) and CrossFit athlete  |  Session date: Sept 18, 2026</w:t>
      </w:r>
    </w:p>
    <w:p>
      <w:pPr>
        <w:pBdr>
          <w:bottom w:val="single" w:color="0E7C7B" w:sz="6" w:space="2"/>
        </w:pBdr>
        <w:spacing w:after="70" w:before="160"/>
      </w:pPr>
      <w:r>
        <w:rPr>
          <w:b/>
          <w:bCs/>
          <w:color w:val="1B2A4A"/>
          <w:sz w:val="20"/>
          <w:szCs w:val="20"/>
        </w:rPr>
        <w:t xml:space="preserve">PRESENTATION</w:t>
      </w:r>
    </w:p>
    <w:p>
      <w:pPr>
        <w:spacing w:after="80"/>
      </w:pPr>
      <w:r>
        <w:rPr>
          <w:color w:val="222222"/>
          <w:sz w:val="19"/>
          <w:szCs w:val="19"/>
        </w:rPr>
        <w:t xml:space="preserve">Laura is a marathon-training runner who also lifts (CrossFit). She presented with pain radiating down her lower back and reported difficulty sleeping because of it. Hip extension strength was assessed bilaterally with a Kinvent K-Pull dynamometer before treatment.</w:t>
      </w:r>
    </w:p>
    <w:p>
      <w:pPr>
        <w:pBdr>
          <w:bottom w:val="single" w:color="0E7C7B" w:sz="6" w:space="2"/>
        </w:pBdr>
        <w:spacing w:after="70" w:before="160"/>
      </w:pPr>
      <w:r>
        <w:rPr>
          <w:b/>
          <w:bCs/>
          <w:color w:val="1B2A4A"/>
          <w:sz w:val="20"/>
          <w:szCs w:val="20"/>
        </w:rPr>
        <w:t xml:space="preserve">PRE-TREATMENT FINDING</w:t>
      </w:r>
    </w:p>
    <w:p>
      <w:pPr>
        <w:spacing w:after="80"/>
      </w:pPr>
      <w:r>
        <w:rPr>
          <w:color w:val="222222"/>
          <w:sz w:val="19"/>
          <w:szCs w:val="19"/>
        </w:rPr>
        <w:t xml:space="preserve">Baseline testing showed a clear left/right imbalance in hip extension strength — the right side was pulling meaningfully more than the left (average peak force 18.3 kg right vs. 14.7 kg left), for an average asymmetry of 19.3% across three repetitions. A one-sided strength deficit like this is a common driver of compensatory lower-back loading in runners and lifters, and a reasonable link to her radiating low back pain.</w:t>
      </w:r>
    </w:p>
    <w:p>
      <w:pPr>
        <w:pBdr>
          <w:bottom w:val="single" w:color="0E7C7B" w:sz="6" w:space="2"/>
        </w:pBdr>
        <w:spacing w:after="70" w:before="160"/>
      </w:pPr>
      <w:r>
        <w:rPr>
          <w:b/>
          <w:bCs/>
          <w:color w:val="1B2A4A"/>
          <w:sz w:val="20"/>
          <w:szCs w:val="20"/>
        </w:rPr>
        <w:t xml:space="preserve">WINBACK TREATMENT PROTOCOL</w:t>
      </w:r>
    </w:p>
    <w:tbl>
      <w:tblPr>
        <w:tblW w:type="dxa" w:w="8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5800"/>
      </w:tblGrid>
      <w:tr>
        <w:tc>
          <w:tcPr>
            <w:tcW w:type="dxa" w:w="26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Device / Pads</w:t>
            </w:r>
          </w:p>
        </w:tc>
        <w:tc>
          <w:tcPr>
            <w:tcW w:type="dxa" w:w="5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</w:rPr>
              <w:t xml:space="preserve">Winback BACK-series unit; adhesive electrodes placed on the right hip extensor/glute complex</w:t>
            </w:r>
          </w:p>
        </w:tc>
      </w:tr>
      <w:tr>
        <w:tc>
          <w:tcPr>
            <w:tcW w:type="dxa" w:w="26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Modality</w:t>
            </w:r>
          </w:p>
        </w:tc>
        <w:tc>
          <w:tcPr>
            <w:tcW w:type="dxa" w:w="5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</w:rPr>
              <w:t xml:space="preserve">RET (Resistive Energy Transfer / TECAR) at 40% intensity, combined with Hi-TENS at 25 kHz</w:t>
            </w:r>
          </w:p>
        </w:tc>
      </w:tr>
      <w:tr>
        <w:tc>
          <w:tcPr>
            <w:tcW w:type="dxa" w:w="26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Mode</w:t>
            </w:r>
          </w:p>
        </w:tc>
        <w:tc>
          <w:tcPr>
            <w:tcW w:type="dxa" w:w="5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</w:rPr>
              <w:t xml:space="preserve">Rehab+</w:t>
            </w:r>
          </w:p>
        </w:tc>
      </w:tr>
      <w:tr>
        <w:tc>
          <w:tcPr>
            <w:tcW w:type="dxa" w:w="26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Total treatment time</w:t>
            </w:r>
          </w:p>
        </w:tc>
        <w:tc>
          <w:tcPr>
            <w:tcW w:type="dxa" w:w="5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</w:rPr>
              <w:t xml:space="preserve">~15 minutes</w:t>
            </w:r>
          </w:p>
        </w:tc>
      </w:tr>
      <w:tr>
        <w:tc>
          <w:tcPr>
            <w:tcW w:type="dxa" w:w="26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Mid-session checkpoint</w:t>
            </w:r>
          </w:p>
        </w:tc>
        <w:tc>
          <w:tcPr>
            <w:tcW w:type="dxa" w:w="5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</w:rPr>
              <w:t xml:space="preserve">After the first 5 minutes, patient performed active single-leg kickbacks against resistance while RET/Hi-TENS continued — this marked the data-collection point between the pre- and post-tests</w:t>
            </w:r>
          </w:p>
        </w:tc>
      </w:tr>
    </w:tbl>
    <w:p>
      <w:pPr>
        <w:pBdr>
          <w:bottom w:val="single" w:color="0E7C7B" w:sz="6" w:space="2"/>
        </w:pBdr>
        <w:spacing w:after="70" w:before="160"/>
      </w:pPr>
      <w:r>
        <w:rPr>
          <w:b/>
          <w:bCs/>
          <w:color w:val="1B2A4A"/>
          <w:sz w:val="20"/>
          <w:szCs w:val="20"/>
        </w:rPr>
        <w:t xml:space="preserve">POST-TREATMENT FINDING</w:t>
      </w:r>
    </w:p>
    <w:p>
      <w:pPr>
        <w:spacing w:after="80"/>
      </w:pPr>
      <w:r>
        <w:rPr>
          <w:color w:val="222222"/>
          <w:sz w:val="19"/>
          <w:szCs w:val="19"/>
        </w:rPr>
        <w:t xml:space="preserve">Immediately after the session, the same Kinvent hip extension test was repeated:</w:t>
      </w:r>
    </w:p>
    <w:tbl>
      <w:tblPr>
        <w:tblW w:type="dxa" w:w="8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2000"/>
        <w:gridCol w:w="2000"/>
      </w:tblGrid>
      <w:tr>
        <w:trPr>
          <w:tblHeader/>
        </w:trPr>
        <w:tc>
          <w:tcPr>
            <w:tcW w:type="dxa" w:w="2400"/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Kinvent Hip Extension Metric</w:t>
            </w:r>
          </w:p>
        </w:tc>
        <w:tc>
          <w:tcPr>
            <w:tcW w:type="dxa" w:w="2000"/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Pre-Treatment</w:t>
            </w:r>
          </w:p>
        </w:tc>
        <w:tc>
          <w:tcPr>
            <w:tcW w:type="dxa" w:w="2000"/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Post-Treatment</w:t>
            </w:r>
          </w:p>
        </w:tc>
        <w:tc>
          <w:tcPr>
            <w:tcW w:type="dxa" w:w="2000"/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Change</w:t>
            </w:r>
          </w:p>
        </w:tc>
      </w:tr>
      <w:tr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</w:rPr>
              <w:t xml:space="preserve">Left hip extension – avg. peak force (kg)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</w:rPr>
              <w:t xml:space="preserve">14.67 kg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</w:rPr>
              <w:t xml:space="preserve">17.05 kg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0E7C4B"/>
                <w:sz w:val="18"/>
                <w:szCs w:val="18"/>
              </w:rPr>
              <w:t xml:space="preserve">+2.38 kg (+16%)</w:t>
            </w:r>
          </w:p>
        </w:tc>
      </w:tr>
      <w:tr>
        <w:tc>
          <w:tcPr>
            <w:tcW w:type="dxa" w:w="24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</w:rPr>
              <w:t xml:space="preserve">Right hip extension – avg. peak force (kg)</w:t>
            </w:r>
          </w:p>
        </w:tc>
        <w:tc>
          <w:tcPr>
            <w:tcW w:type="dxa" w:w="20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</w:rPr>
              <w:t xml:space="preserve">18.27 kg</w:t>
            </w:r>
          </w:p>
        </w:tc>
        <w:tc>
          <w:tcPr>
            <w:tcW w:type="dxa" w:w="20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</w:rPr>
              <w:t xml:space="preserve">16.73 kg</w:t>
            </w:r>
          </w:p>
        </w:tc>
        <w:tc>
          <w:tcPr>
            <w:tcW w:type="dxa" w:w="20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</w:rPr>
              <w:t xml:space="preserve">−1.55 kg (−8%)</w:t>
            </w:r>
          </w:p>
        </w:tc>
      </w:tr>
      <w:tr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Left/Right asymmetry (avg. of 3 reps)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19.3%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3.1%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0E7C4B"/>
                <w:sz w:val="18"/>
                <w:szCs w:val="18"/>
              </w:rPr>
              <w:t xml:space="preserve">−16.2 pts (−84%)</w:t>
            </w:r>
          </w:p>
        </w:tc>
      </w:tr>
    </w:tbl>
    <w:p>
      <w:pPr>
        <w:spacing w:after="100" w:before="100"/>
      </w:pPr>
    </w:p>
    <w:p>
      <w:pPr>
        <w:spacing w:after="80"/>
      </w:pPr>
      <w:r>
        <w:rPr>
          <w:color w:val="222222"/>
          <w:sz w:val="19"/>
          <w:szCs w:val="19"/>
        </w:rPr>
        <w:t xml:space="preserve">Left-side peak force rose by about 16%, right-side eased back by about 8%, and the left/right asymmetry dropped from 19.3% to 3.1% — an 84% reduction in a single session.</w:t>
      </w:r>
    </w:p>
    <w:p>
      <w:pPr>
        <w:pBdr>
          <w:bottom w:val="single" w:color="0E7C7B" w:sz="6" w:space="2"/>
        </w:pBdr>
        <w:spacing w:after="70" w:before="160"/>
      </w:pPr>
      <w:r>
        <w:rPr>
          <w:b/>
          <w:bCs/>
          <w:color w:val="1B2A4A"/>
          <w:sz w:val="20"/>
          <w:szCs w:val="20"/>
        </w:rPr>
        <w:t xml:space="preserve">CLINICAL TAKEAWAY</w:t>
      </w:r>
    </w:p>
    <w:p>
      <w:pPr>
        <w:spacing w:after="80"/>
      </w:pPr>
      <w:r>
        <w:rPr>
          <w:color w:val="222222"/>
          <w:sz w:val="19"/>
          <w:szCs w:val="19"/>
        </w:rPr>
        <w:t xml:space="preserve">The combination of TECAR/Hi-TENS and active single-leg loading appears to have improved the left hip extensor's ability to produce force, closing most of the gap with the right side in one visit. A plausible mechanism is reduced pain-related inhibition on the weaker (left) side, allowing better motor recruitment once local tissue tolerance improved — rather than the right side “weakening.” This is a single-session observation, not a controlled outcome; asymmetry and symptom trends (including sleep and low back pain) should be tracked across follow-up visits to confirm the pattern holds.</w:t>
      </w:r>
    </w:p>
    <w:p>
      <w:pPr>
        <w:pBdr>
          <w:top w:val="single" w:color="CCCCCC" w:sz="4" w:space="4"/>
        </w:pBdr>
        <w:spacing w:before="160"/>
      </w:pPr>
      <w:r>
        <w:t xml:space="preserve"/>
      </w:r>
    </w:p>
    <w:p>
      <w:pPr>
        <w:spacing w:before="60"/>
      </w:pPr>
      <w:r>
        <w:rPr>
          <w:b/>
          <w:bCs/>
          <w:color w:val="1B2A4A"/>
          <w:sz w:val="18"/>
          <w:szCs w:val="18"/>
        </w:rPr>
        <w:t xml:space="preserve">Hector L. Torres, MS, MHS</w:t>
      </w:r>
    </w:p>
    <w:p>
      <w:r>
        <w:rPr>
          <w:color w:val="666666"/>
          <w:sz w:val="16"/>
          <w:szCs w:val="16"/>
        </w:rPr>
        <w:t xml:space="preserve">U.S. Business Development Manager, Winback USA  |  USA Triathlon Level III Coach</w:t>
      </w:r>
    </w:p>
    <w:p>
      <w:r>
        <w:rPr>
          <w:color w:val="666666"/>
          <w:sz w:val="16"/>
          <w:szCs w:val="16"/>
        </w:rPr>
        <w:t xml:space="preserve">321-443-0073  |  hector.torres@winback.com  |  calendly.com/tripeakathlete/consultation</w:t>
      </w:r>
    </w:p>
    <w:sectPr>
      <w:pgSz w:w="12240" w:h="15840" w:orient="portrait"/>
      <w:pgMar w:top="560" w:right="560" w:bottom="560" w:left="5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2026-09-18T16:42:02.903Z</dcterms:created>
  <dcterms:modified xsi:type="dcterms:W3CDTF">2026-09-18T16:42:02.903Z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